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571D8" w14:textId="1E1E40AF" w:rsidR="00DF3BD7" w:rsidRPr="00AC1475" w:rsidRDefault="00046D03" w:rsidP="00046D03">
      <w:pPr>
        <w:jc w:val="center"/>
        <w:rPr>
          <w:rFonts w:cstheme="minorHAnsi"/>
          <w:b/>
          <w:bCs/>
        </w:rPr>
      </w:pPr>
      <w:r w:rsidRPr="00AC1475">
        <w:rPr>
          <w:rFonts w:cstheme="minorHAnsi"/>
          <w:b/>
          <w:bCs/>
        </w:rPr>
        <w:t>20</w:t>
      </w:r>
      <w:r w:rsidR="005F7170">
        <w:rPr>
          <w:rFonts w:cstheme="minorHAnsi"/>
          <w:b/>
          <w:bCs/>
        </w:rPr>
        <w:t>20</w:t>
      </w:r>
      <w:r w:rsidRPr="00AC1475">
        <w:rPr>
          <w:rFonts w:cstheme="minorHAnsi"/>
          <w:b/>
          <w:bCs/>
        </w:rPr>
        <w:t>-2</w:t>
      </w:r>
      <w:r w:rsidR="005F7170">
        <w:rPr>
          <w:rFonts w:cstheme="minorHAnsi"/>
          <w:b/>
          <w:bCs/>
        </w:rPr>
        <w:t>1</w:t>
      </w:r>
      <w:bookmarkStart w:id="0" w:name="_GoBack"/>
      <w:bookmarkEnd w:id="0"/>
      <w:r w:rsidRPr="00AC1475">
        <w:rPr>
          <w:rFonts w:cstheme="minorHAnsi"/>
          <w:b/>
          <w:bCs/>
        </w:rPr>
        <w:t xml:space="preserve"> School Access Route Plan</w:t>
      </w:r>
    </w:p>
    <w:p w14:paraId="69DCAA0A" w14:textId="5174219D" w:rsidR="00046D03" w:rsidRPr="00AC1475" w:rsidRDefault="00046D03" w:rsidP="00046D03">
      <w:pPr>
        <w:jc w:val="center"/>
        <w:rPr>
          <w:rFonts w:cstheme="minorHAnsi"/>
          <w:b/>
          <w:bCs/>
        </w:rPr>
      </w:pPr>
    </w:p>
    <w:p w14:paraId="6F3A7806" w14:textId="039E5FC1" w:rsidR="00046D03" w:rsidRPr="00AC1475" w:rsidRDefault="00046D03" w:rsidP="00046D03">
      <w:pPr>
        <w:jc w:val="center"/>
        <w:rPr>
          <w:rFonts w:cstheme="minorHAnsi"/>
          <w:b/>
          <w:bCs/>
        </w:rPr>
      </w:pPr>
      <w:r w:rsidRPr="00AC1475">
        <w:rPr>
          <w:rFonts w:cstheme="minorHAnsi"/>
          <w:b/>
          <w:bCs/>
        </w:rPr>
        <w:t>Greenwood Elementary</w:t>
      </w:r>
    </w:p>
    <w:p w14:paraId="6DCC249C" w14:textId="4BA56909" w:rsidR="00046D03" w:rsidRPr="00AC1475" w:rsidRDefault="00046D03" w:rsidP="00046D03">
      <w:pPr>
        <w:jc w:val="center"/>
        <w:rPr>
          <w:rFonts w:cstheme="minorHAnsi"/>
          <w:b/>
          <w:bCs/>
        </w:rPr>
      </w:pPr>
    </w:p>
    <w:p w14:paraId="15E20669" w14:textId="3DEFD255" w:rsidR="00AC1475" w:rsidRPr="00EE3920" w:rsidRDefault="00046D03" w:rsidP="00AC1475">
      <w:pPr>
        <w:rPr>
          <w:rFonts w:cstheme="minorHAnsi"/>
        </w:rPr>
      </w:pPr>
      <w:r w:rsidRPr="00EE3920">
        <w:rPr>
          <w:rFonts w:cstheme="minorHAnsi"/>
        </w:rPr>
        <w:t>In accordance with state standards, Greenwood Elementary has identified school access routes for students who live within the walk</w:t>
      </w:r>
      <w:r w:rsidR="00A5356D">
        <w:rPr>
          <w:rFonts w:cstheme="minorHAnsi"/>
        </w:rPr>
        <w:t>ing</w:t>
      </w:r>
      <w:r w:rsidRPr="00EE3920">
        <w:rPr>
          <w:rFonts w:cstheme="minorHAnsi"/>
        </w:rPr>
        <w:t xml:space="preserve"> boundary established for our school.  A map showing the identified routes can be viewed at the following link: </w:t>
      </w:r>
    </w:p>
    <w:p w14:paraId="35199FF3" w14:textId="77777777" w:rsidR="00AC1475" w:rsidRPr="00EE3920" w:rsidRDefault="00AC1475" w:rsidP="00AC1475">
      <w:pPr>
        <w:rPr>
          <w:rFonts w:cstheme="minorHAnsi"/>
        </w:rPr>
      </w:pPr>
    </w:p>
    <w:p w14:paraId="0868A847" w14:textId="2E873091" w:rsidR="00AC1475" w:rsidRPr="00EE3920" w:rsidRDefault="005F7170" w:rsidP="00AC1475">
      <w:pPr>
        <w:rPr>
          <w:rFonts w:eastAsia="Times New Roman" w:cstheme="minorHAnsi"/>
        </w:rPr>
      </w:pPr>
      <w:hyperlink r:id="rId5" w:history="1">
        <w:r w:rsidR="00AC1475" w:rsidRPr="00EE3920">
          <w:rPr>
            <w:rStyle w:val="Hyperlink"/>
            <w:rFonts w:eastAsia="Times New Roman" w:cstheme="minorHAnsi"/>
          </w:rPr>
          <w:t>https://www.saferoutesutahmap.com/map/school-maps/greenwood-elementary-410</w:t>
        </w:r>
      </w:hyperlink>
    </w:p>
    <w:p w14:paraId="23BB5B8F" w14:textId="135EF755" w:rsidR="00046D03" w:rsidRPr="00EE3920" w:rsidRDefault="00046D03" w:rsidP="00046D03">
      <w:pPr>
        <w:rPr>
          <w:rFonts w:cstheme="minorHAnsi"/>
        </w:rPr>
      </w:pPr>
    </w:p>
    <w:p w14:paraId="3D432463" w14:textId="3FB85607" w:rsidR="00AC1475" w:rsidRPr="00EE3920" w:rsidRDefault="00AC1475" w:rsidP="00046D03">
      <w:pPr>
        <w:rPr>
          <w:rFonts w:cstheme="minorHAnsi"/>
        </w:rPr>
      </w:pPr>
      <w:r w:rsidRPr="00EE3920">
        <w:rPr>
          <w:rFonts w:cstheme="minorHAnsi"/>
        </w:rPr>
        <w:t xml:space="preserve">The intent of a School Access </w:t>
      </w:r>
      <w:r w:rsidR="000F4B49">
        <w:rPr>
          <w:rFonts w:cstheme="minorHAnsi"/>
        </w:rPr>
        <w:t xml:space="preserve">Route </w:t>
      </w:r>
      <w:r w:rsidRPr="00EE3920">
        <w:rPr>
          <w:rFonts w:cstheme="minorHAnsi"/>
        </w:rPr>
        <w:t>Plan is NOT to identify every school access route or to identify the more convenient access routes; it is to identify main walk/bike routes that students can use to get to school.  Care has been taken to consult with local law enforcement, school PTA and School Community Council representatives</w:t>
      </w:r>
      <w:r w:rsidR="00F24693" w:rsidRPr="00EE3920">
        <w:rPr>
          <w:rFonts w:cstheme="minorHAnsi"/>
        </w:rPr>
        <w:t>, and the District traffic safety committee in establishing school access routes.  Despite broad consultation and agreement from all participating parties, no one, including the Alpine School District and Greenwood Elementary can guarantee that the agreed upon access routes will ever be completely free from hazards.</w:t>
      </w:r>
    </w:p>
    <w:p w14:paraId="512BC286" w14:textId="16D27735" w:rsidR="00F24693" w:rsidRPr="00EE3920" w:rsidRDefault="00F24693" w:rsidP="00046D03">
      <w:pPr>
        <w:rPr>
          <w:rFonts w:cstheme="minorHAnsi"/>
        </w:rPr>
      </w:pPr>
    </w:p>
    <w:p w14:paraId="2333EEA4" w14:textId="4869100E" w:rsidR="00F24693" w:rsidRPr="00EE3920" w:rsidRDefault="00F24693" w:rsidP="00046D03">
      <w:pPr>
        <w:rPr>
          <w:rFonts w:cstheme="minorHAnsi"/>
        </w:rPr>
      </w:pPr>
      <w:r w:rsidRPr="00EE3920">
        <w:rPr>
          <w:rFonts w:cstheme="minorHAnsi"/>
        </w:rPr>
        <w:t>Parents are encouraged to review and then walk the access routes with their child/children, to address specific concerns they may have, and to instruct their child/children to obey the laws and rules pertaining to pedestrian safety.  If a parent feels their child/children should use an access route that IS NOT identified in this plan, it is their prerogative to instruct their child/children differently.</w:t>
      </w:r>
    </w:p>
    <w:p w14:paraId="0199D0F1" w14:textId="04F15797" w:rsidR="00F24693" w:rsidRPr="00EE3920" w:rsidRDefault="00F24693" w:rsidP="00046D03">
      <w:pPr>
        <w:rPr>
          <w:rFonts w:cstheme="minorHAnsi"/>
        </w:rPr>
      </w:pPr>
    </w:p>
    <w:p w14:paraId="39B9EB83" w14:textId="7A63C637" w:rsidR="00F24693" w:rsidRPr="00EE3920" w:rsidRDefault="00F24693" w:rsidP="00046D03">
      <w:pPr>
        <w:rPr>
          <w:rFonts w:cstheme="minorHAnsi"/>
        </w:rPr>
      </w:pPr>
      <w:r w:rsidRPr="00EE3920">
        <w:rPr>
          <w:rFonts w:cstheme="minorHAnsi"/>
        </w:rPr>
        <w:t>As previously stated, the intent of a School Access Route Plan is NOT to identify every school access route or to identify the more convenient school access routes.  For this plan, school access routes have been identified and are described below.</w:t>
      </w:r>
    </w:p>
    <w:p w14:paraId="60B826F0" w14:textId="13BAA1E0" w:rsidR="00F24693" w:rsidRPr="00EE3920" w:rsidRDefault="00F24693" w:rsidP="00046D03">
      <w:pPr>
        <w:rPr>
          <w:rFonts w:cstheme="minorHAnsi"/>
        </w:rPr>
      </w:pPr>
    </w:p>
    <w:p w14:paraId="79E0DC4C" w14:textId="75CEDF00" w:rsidR="00F24693" w:rsidRDefault="00EE3920" w:rsidP="00EE3920">
      <w:pPr>
        <w:jc w:val="center"/>
        <w:rPr>
          <w:rFonts w:cstheme="minorHAnsi"/>
        </w:rPr>
      </w:pPr>
      <w:r>
        <w:rPr>
          <w:rFonts w:cstheme="minorHAnsi"/>
          <w:b/>
          <w:bCs/>
        </w:rPr>
        <w:t>School Access Route Descriptions</w:t>
      </w:r>
    </w:p>
    <w:p w14:paraId="1C4E0275" w14:textId="77C0F4ED" w:rsidR="00EE3920" w:rsidRDefault="00EE3920" w:rsidP="00EE3920">
      <w:pPr>
        <w:jc w:val="center"/>
        <w:rPr>
          <w:rFonts w:cstheme="minorHAnsi"/>
        </w:rPr>
      </w:pPr>
    </w:p>
    <w:p w14:paraId="408131AB" w14:textId="472CDA14" w:rsidR="00EE3920" w:rsidRPr="007D07A8" w:rsidRDefault="007D07A8" w:rsidP="007D07A8">
      <w:pPr>
        <w:pStyle w:val="ListParagraph"/>
        <w:numPr>
          <w:ilvl w:val="0"/>
          <w:numId w:val="1"/>
        </w:numPr>
        <w:rPr>
          <w:rFonts w:cstheme="minorHAnsi"/>
          <w:b/>
          <w:bCs/>
        </w:rPr>
      </w:pPr>
      <w:r w:rsidRPr="007D07A8">
        <w:rPr>
          <w:rFonts w:cstheme="minorHAnsi"/>
          <w:b/>
          <w:bCs/>
        </w:rPr>
        <w:t>Zone 1</w:t>
      </w:r>
      <w:r>
        <w:rPr>
          <w:rFonts w:cstheme="minorHAnsi"/>
          <w:b/>
          <w:bCs/>
        </w:rPr>
        <w:t xml:space="preserve">: </w:t>
      </w:r>
      <w:r>
        <w:rPr>
          <w:rFonts w:cstheme="minorHAnsi"/>
        </w:rPr>
        <w:t>Families who live east of 100 East and south of 400 South should walk to 400 South and head west until they reach 100 East.  They proceed north along that street until arriving safely at the school.</w:t>
      </w:r>
    </w:p>
    <w:p w14:paraId="1EB70B8E" w14:textId="531B257C" w:rsidR="007D07A8" w:rsidRPr="007D07A8" w:rsidRDefault="007D07A8" w:rsidP="007D07A8">
      <w:pPr>
        <w:pStyle w:val="ListParagraph"/>
        <w:numPr>
          <w:ilvl w:val="0"/>
          <w:numId w:val="1"/>
        </w:numPr>
        <w:rPr>
          <w:rFonts w:cstheme="minorHAnsi"/>
          <w:b/>
          <w:bCs/>
        </w:rPr>
      </w:pPr>
      <w:r>
        <w:rPr>
          <w:rFonts w:cstheme="minorHAnsi"/>
          <w:b/>
          <w:bCs/>
        </w:rPr>
        <w:t>Zone 2:</w:t>
      </w:r>
      <w:r>
        <w:rPr>
          <w:rFonts w:cstheme="minorHAnsi"/>
        </w:rPr>
        <w:t xml:space="preserve"> Families who live east of 100 East and north or south of 200 South should walk to 200 South and head west until they arrive safely at school.  A crossing guard at the 100 East and 200 South intersection can help them cross safely if needed.</w:t>
      </w:r>
    </w:p>
    <w:p w14:paraId="5379D6AB" w14:textId="39C64A17" w:rsidR="007D07A8" w:rsidRPr="001E07FA" w:rsidRDefault="007D07A8" w:rsidP="007D07A8">
      <w:pPr>
        <w:pStyle w:val="ListParagraph"/>
        <w:numPr>
          <w:ilvl w:val="0"/>
          <w:numId w:val="1"/>
        </w:numPr>
        <w:rPr>
          <w:rFonts w:cstheme="minorHAnsi"/>
          <w:b/>
          <w:bCs/>
        </w:rPr>
      </w:pPr>
      <w:r>
        <w:rPr>
          <w:rFonts w:cstheme="minorHAnsi"/>
          <w:b/>
          <w:bCs/>
        </w:rPr>
        <w:t>Zone 3:</w:t>
      </w:r>
      <w:r>
        <w:rPr>
          <w:rFonts w:cstheme="minorHAnsi"/>
        </w:rPr>
        <w:t xml:space="preserve"> </w:t>
      </w:r>
      <w:r w:rsidR="0018440C">
        <w:rPr>
          <w:rFonts w:cstheme="minorHAnsi"/>
        </w:rPr>
        <w:t xml:space="preserve">Families who live north of 200 South </w:t>
      </w:r>
      <w:r w:rsidR="001E07FA">
        <w:rPr>
          <w:rFonts w:cstheme="minorHAnsi"/>
        </w:rPr>
        <w:t>and on the east or west sides of 100 East should walk to 100 E and head south until they arrive safely at school.  A crossing guard at the 100 East and 200 South intersection can help them cross safely if needed.</w:t>
      </w:r>
    </w:p>
    <w:p w14:paraId="07152CD9" w14:textId="344E0AF5" w:rsidR="001E07FA" w:rsidRPr="001E07FA" w:rsidRDefault="001E07FA" w:rsidP="007D07A8">
      <w:pPr>
        <w:pStyle w:val="ListParagraph"/>
        <w:numPr>
          <w:ilvl w:val="0"/>
          <w:numId w:val="1"/>
        </w:numPr>
        <w:rPr>
          <w:rFonts w:cstheme="minorHAnsi"/>
          <w:b/>
          <w:bCs/>
        </w:rPr>
      </w:pPr>
      <w:r>
        <w:rPr>
          <w:rFonts w:cstheme="minorHAnsi"/>
          <w:b/>
          <w:bCs/>
        </w:rPr>
        <w:t>Zone 4:</w:t>
      </w:r>
      <w:r>
        <w:rPr>
          <w:rFonts w:cstheme="minorHAnsi"/>
        </w:rPr>
        <w:t xml:space="preserve"> Families who live north of 200 South and on the east or west sides of Center street should walk to Center street and head south to the intersection at 200 South.  They should cross at that intersection using the crosswalks and then head east along 200 South until they arrive safely at school.</w:t>
      </w:r>
    </w:p>
    <w:p w14:paraId="31072BE0" w14:textId="32D38F87" w:rsidR="001E07FA" w:rsidRPr="00CF3B52" w:rsidRDefault="001E07FA" w:rsidP="007D07A8">
      <w:pPr>
        <w:pStyle w:val="ListParagraph"/>
        <w:numPr>
          <w:ilvl w:val="0"/>
          <w:numId w:val="1"/>
        </w:numPr>
        <w:rPr>
          <w:rFonts w:cstheme="minorHAnsi"/>
          <w:b/>
          <w:bCs/>
        </w:rPr>
      </w:pPr>
      <w:r>
        <w:rPr>
          <w:rFonts w:cstheme="minorHAnsi"/>
          <w:b/>
          <w:bCs/>
        </w:rPr>
        <w:lastRenderedPageBreak/>
        <w:t>Zone 5:</w:t>
      </w:r>
      <w:r>
        <w:rPr>
          <w:rFonts w:cstheme="minorHAnsi"/>
        </w:rPr>
        <w:t xml:space="preserve"> </w:t>
      </w:r>
      <w:r w:rsidR="00CF3B52">
        <w:rPr>
          <w:rFonts w:cstheme="minorHAnsi"/>
        </w:rPr>
        <w:t>Families who live west of Center street and on the north or south side of 200 South should walk to 200 South and head east until they arrive safely at school.,</w:t>
      </w:r>
    </w:p>
    <w:p w14:paraId="793602A2" w14:textId="7EC32BC0" w:rsidR="00CF3B52" w:rsidRPr="007D07A8" w:rsidRDefault="00CF3B52" w:rsidP="007D07A8">
      <w:pPr>
        <w:pStyle w:val="ListParagraph"/>
        <w:numPr>
          <w:ilvl w:val="0"/>
          <w:numId w:val="1"/>
        </w:numPr>
        <w:rPr>
          <w:rFonts w:cstheme="minorHAnsi"/>
          <w:b/>
          <w:bCs/>
        </w:rPr>
      </w:pPr>
      <w:r>
        <w:rPr>
          <w:rFonts w:cstheme="minorHAnsi"/>
          <w:b/>
          <w:bCs/>
        </w:rPr>
        <w:t>Zone 6:</w:t>
      </w:r>
      <w:r>
        <w:rPr>
          <w:rFonts w:cstheme="minorHAnsi"/>
        </w:rPr>
        <w:t xml:space="preserve"> Families who live south of 200 South along Center street should walk to Center street and head north to the intersection at 200 South.  They should cross at that intersection using the crosswalks and then head east along 200 South until they arrive safely at school.</w:t>
      </w:r>
    </w:p>
    <w:sectPr w:rsidR="00CF3B52" w:rsidRPr="007D07A8" w:rsidSect="008D57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CB4E50"/>
    <w:multiLevelType w:val="hybridMultilevel"/>
    <w:tmpl w:val="443E6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D03"/>
    <w:rsid w:val="00046D03"/>
    <w:rsid w:val="000F4B49"/>
    <w:rsid w:val="0018440C"/>
    <w:rsid w:val="001E07FA"/>
    <w:rsid w:val="00557E2B"/>
    <w:rsid w:val="005F7170"/>
    <w:rsid w:val="007D07A8"/>
    <w:rsid w:val="00810F79"/>
    <w:rsid w:val="008D5776"/>
    <w:rsid w:val="00A5356D"/>
    <w:rsid w:val="00AC1475"/>
    <w:rsid w:val="00CF3B52"/>
    <w:rsid w:val="00EE3920"/>
    <w:rsid w:val="00F246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9A887B6"/>
  <w15:chartTrackingRefBased/>
  <w15:docId w15:val="{385DF6C2-9B4F-5048-A682-29D1DB45F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1475"/>
    <w:rPr>
      <w:color w:val="0000FF"/>
      <w:u w:val="single"/>
    </w:rPr>
  </w:style>
  <w:style w:type="character" w:styleId="UnresolvedMention">
    <w:name w:val="Unresolved Mention"/>
    <w:basedOn w:val="DefaultParagraphFont"/>
    <w:uiPriority w:val="99"/>
    <w:semiHidden/>
    <w:unhideWhenUsed/>
    <w:rsid w:val="00AC1475"/>
    <w:rPr>
      <w:color w:val="605E5C"/>
      <w:shd w:val="clear" w:color="auto" w:fill="E1DFDD"/>
    </w:rPr>
  </w:style>
  <w:style w:type="paragraph" w:styleId="ListParagraph">
    <w:name w:val="List Paragraph"/>
    <w:basedOn w:val="Normal"/>
    <w:uiPriority w:val="34"/>
    <w:qFormat/>
    <w:rsid w:val="007D07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35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aferoutesutahmap.com/map/school-maps/greenwood-elementary-41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dcterms:created xsi:type="dcterms:W3CDTF">2020-03-26T16:54:00Z</dcterms:created>
  <dcterms:modified xsi:type="dcterms:W3CDTF">2020-03-27T14:34:00Z</dcterms:modified>
</cp:coreProperties>
</file>